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232" w:rsidRPr="004F6786" w:rsidRDefault="00912232" w:rsidP="00912232">
      <w:pPr>
        <w:keepNext/>
        <w:pBdr>
          <w:top w:val="nil"/>
          <w:left w:val="nil"/>
          <w:bottom w:val="nil"/>
          <w:right w:val="nil"/>
          <w:between w:val="nil"/>
        </w:pBdr>
        <w:spacing w:before="240" w:after="120" w:line="240" w:lineRule="auto"/>
        <w:rPr>
          <w:color w:val="000000"/>
          <w:lang w:val="en-GB"/>
        </w:rPr>
      </w:pPr>
      <w:bookmarkStart w:id="0" w:name="_Ref104971646"/>
      <w:bookmarkStart w:id="1" w:name="_Toc87553787"/>
      <w:bookmarkStart w:id="2" w:name="_Toc87623086"/>
      <w:bookmarkStart w:id="3" w:name="_Toc147489082"/>
      <w:r w:rsidRPr="0079215C">
        <w:rPr>
          <w:b/>
          <w:bCs/>
        </w:rPr>
        <w:t xml:space="preserve">Table </w:t>
      </w:r>
      <w:bookmarkStart w:id="4" w:name="_heading=h.3oy7u29" w:colFirst="0" w:colLast="0"/>
      <w:bookmarkEnd w:id="4"/>
      <w:r w:rsidRPr="0079215C">
        <w:rPr>
          <w:b/>
          <w:bCs/>
          <w:color w:val="000000" w:themeColor="text1"/>
        </w:rPr>
        <w:t>5</w:t>
      </w:r>
      <w:r w:rsidRPr="0079215C">
        <w:rPr>
          <w:b/>
          <w:bCs/>
        </w:rPr>
        <w:t>.</w:t>
      </w:r>
      <w:r w:rsidRPr="0079215C">
        <w:rPr>
          <w:b/>
          <w:bCs/>
        </w:rPr>
        <w:fldChar w:fldCharType="begin"/>
      </w:r>
      <w:r w:rsidRPr="0079215C">
        <w:rPr>
          <w:b/>
          <w:bCs/>
        </w:rPr>
        <w:instrText xml:space="preserve"> SEQ Table_5. \* ARABIC </w:instrText>
      </w:r>
      <w:r w:rsidRPr="0079215C">
        <w:rPr>
          <w:b/>
          <w:bCs/>
        </w:rPr>
        <w:fldChar w:fldCharType="separate"/>
      </w:r>
      <w:r w:rsidRPr="0079215C">
        <w:rPr>
          <w:b/>
          <w:bCs/>
          <w:noProof/>
        </w:rPr>
        <w:t>5</w:t>
      </w:r>
      <w:r w:rsidRPr="0079215C">
        <w:rPr>
          <w:b/>
          <w:bCs/>
        </w:rPr>
        <w:fldChar w:fldCharType="end"/>
      </w:r>
      <w:bookmarkEnd w:id="0"/>
      <w:r w:rsidRPr="0079215C">
        <w:rPr>
          <w:b/>
          <w:bCs/>
        </w:rPr>
        <w:t>.</w:t>
      </w:r>
      <w:r w:rsidRPr="0079215C">
        <w:rPr>
          <w:b/>
          <w:color w:val="000000" w:themeColor="text1"/>
        </w:rPr>
        <w:t xml:space="preserve"> </w:t>
      </w:r>
      <w:bookmarkEnd w:id="1"/>
      <w:bookmarkEnd w:id="2"/>
      <w:r w:rsidRPr="0079215C">
        <w:rPr>
          <w:color w:val="000000" w:themeColor="text1"/>
        </w:rPr>
        <w:t xml:space="preserve">The advantages (left column) and disadvantages (right column) of RNA interference in the context of </w:t>
      </w:r>
      <w:r w:rsidRPr="40428A01">
        <w:rPr>
          <w:rFonts w:eastAsia="Times New Roman"/>
          <w:color w:val="000000" w:themeColor="text1"/>
        </w:rPr>
        <w:t xml:space="preserve">controlling </w:t>
      </w:r>
      <w:r>
        <w:t>invasive alien species</w:t>
      </w:r>
      <w:bookmarkEnd w:id="3"/>
      <w:r w:rsidRPr="004F6786">
        <w:rPr>
          <w:color w:val="000000" w:themeColor="text1"/>
        </w:rPr>
        <w:t xml:space="preserve"> </w:t>
      </w:r>
    </w:p>
    <w:p w:rsidR="00912232" w:rsidRPr="00C0338D" w:rsidRDefault="00912232" w:rsidP="00912232">
      <w:r w:rsidRPr="00C0338D">
        <w:t xml:space="preserve">Summarized from information in </w:t>
      </w:r>
      <w:r w:rsidRPr="00837161">
        <w:fldChar w:fldCharType="begin"/>
      </w:r>
      <w:r>
        <w:instrText xml:space="preserve"> ADDIN ZOTERO_ITEM CSL_CITATION {"citationID":"YA2q55lB","properties":{"formattedCitation":"(Vogel et al., 2019)","plainCitation":"(Vogel et al., 2019)","dontUpdate":true,"noteIndex":0},"citationItems":[{"id":54173,"uris":["http://zotero.org/groups/2352922/items/YI3HQQ4X"],"itemData":{"id":54173,"type":"article-journal","abstract":"Insects constitute the largest and most diverse group of animals on Earth with an equally diverse virome. The main antiviral immune system of these animals is the post-transcriptional gene-silencing mechanism known as RNA(i) interference. Furthermore, this process can be artificially triggered via delivery of gene-specific double-stranded RNA molecules, leading to specific endogenous gene silencing. This is called RNAi technology and has important applications in several fields. In this paper, we review RNAi mechanisms in insects as well as the potential of RNAi technology to contribute to species-specific insecticidal strategies. Regarding this aspect, we cover the range of strategies considered and investigated so far, as well as their limitations and the most promising approaches to overcome them. Additionally, we discuss patterns of viral infection, specifically persistent and acute insect viral infections. In the latter case, we focus on infections affecting economically relevant species. Within this scope, we review the use of insect-specific viruses as bio-insecticides. Last, we discuss RNAi-based strategies to protect beneficial insects from harmful viral infections and their potential practical application. As a whole, this manuscript stresses the impact of insect viruses and RNAi technology in human life, highlighting clear lines of investigation within an exciting and promising field of research.","container-title":"Frontiers in Physiology","ISSN":"1664-042X","source":"Frontiers","title":"RNA Interference in Insects: Protecting Beneficials and Controlling Pests","title-short":"RNA Interference in Insects","URL":"https://www.frontiersin.org/articles/10.3389/fphys.2018.01912","volume":"9","author":[{"family":"Vogel","given":"Elise"},{"family":"Santos","given":"Dulce"},{"family":"Mingels","given":"Lina"},{"family":"Verdonckt","given":"Thomas-Wolf"},{"family":"Broeck","given":"Jozef Vanden"}],"accessed":{"date-parts":[["2023",1,24]]},"issued":{"date-parts":[["2019"]]}},"label":"page"}],"schema":"https://github.com/citation-style-language/schema/raw/master/csl-citation.json"} </w:instrText>
      </w:r>
      <w:r w:rsidRPr="00837161">
        <w:fldChar w:fldCharType="separate"/>
      </w:r>
      <w:r w:rsidRPr="00837161">
        <w:t xml:space="preserve">Vogel </w:t>
      </w:r>
      <w:r w:rsidRPr="00957947">
        <w:rPr>
          <w:i/>
        </w:rPr>
        <w:t>et al</w:t>
      </w:r>
      <w:r w:rsidRPr="00837161">
        <w:t>. (2019)</w:t>
      </w:r>
      <w:r w:rsidRPr="00837161">
        <w:fldChar w:fldCharType="end"/>
      </w:r>
    </w:p>
    <w:tbl>
      <w:tblPr>
        <w:tblW w:w="935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left w:w="85" w:type="dxa"/>
          <w:bottom w:w="28" w:type="dxa"/>
          <w:right w:w="85" w:type="dxa"/>
        </w:tblCellMar>
        <w:tblLook w:val="04A0" w:firstRow="1" w:lastRow="0" w:firstColumn="1" w:lastColumn="0" w:noHBand="0" w:noVBand="1"/>
      </w:tblPr>
      <w:tblGrid>
        <w:gridCol w:w="4675"/>
        <w:gridCol w:w="4675"/>
      </w:tblGrid>
      <w:tr w:rsidR="00912232" w:rsidTr="004F6786">
        <w:tc>
          <w:tcPr>
            <w:tcW w:w="4675" w:type="dxa"/>
          </w:tcPr>
          <w:p w:rsidR="00912232" w:rsidRPr="00C0338D" w:rsidRDefault="00912232" w:rsidP="004F6786">
            <w:r w:rsidRPr="00C0338D">
              <w:t>Advantages</w:t>
            </w:r>
          </w:p>
        </w:tc>
        <w:tc>
          <w:tcPr>
            <w:tcW w:w="4675" w:type="dxa"/>
          </w:tcPr>
          <w:p w:rsidR="00912232" w:rsidRPr="00C0338D" w:rsidRDefault="00912232" w:rsidP="004F6786">
            <w:r w:rsidRPr="00C0338D">
              <w:t>Disadvantages</w:t>
            </w:r>
          </w:p>
        </w:tc>
      </w:tr>
      <w:tr w:rsidR="00912232" w:rsidTr="004F6786">
        <w:tc>
          <w:tcPr>
            <w:tcW w:w="4675" w:type="dxa"/>
          </w:tcPr>
          <w:p w:rsidR="00912232" w:rsidRPr="00C0338D" w:rsidRDefault="00912232" w:rsidP="004F6786">
            <w:r w:rsidRPr="00C0338D">
              <w:t>Exogenous RNA interference does not use a genetically modified technology (free of genetically modified regulatory requirements in most jurisdictions)</w:t>
            </w:r>
          </w:p>
        </w:tc>
        <w:tc>
          <w:tcPr>
            <w:tcW w:w="4675" w:type="dxa"/>
          </w:tcPr>
          <w:p w:rsidR="00912232" w:rsidRPr="00C0338D" w:rsidRDefault="00912232" w:rsidP="004F6786">
            <w:r w:rsidRPr="00C0338D">
              <w:t>Endogenous RNA interference use required genetically modified targets (Subject to genetically modified regulations); exogenous RNA interference may require regulatory review in some jurisdictions</w:t>
            </w:r>
          </w:p>
        </w:tc>
      </w:tr>
      <w:tr w:rsidR="00912232" w:rsidTr="004F6786">
        <w:tc>
          <w:tcPr>
            <w:tcW w:w="4675" w:type="dxa"/>
          </w:tcPr>
          <w:p w:rsidR="00912232" w:rsidRPr="00C0338D" w:rsidRDefault="00912232" w:rsidP="004F6786">
            <w:r w:rsidRPr="00C0338D">
              <w:t>Highly- specific and yet adaptable to many species</w:t>
            </w:r>
          </w:p>
        </w:tc>
        <w:tc>
          <w:tcPr>
            <w:tcW w:w="4675" w:type="dxa"/>
          </w:tcPr>
          <w:p w:rsidR="00912232" w:rsidRPr="00C0338D" w:rsidRDefault="00912232" w:rsidP="004F6786">
            <w:r w:rsidRPr="00C0338D">
              <w:t>Limited to one target invasive alien species for each application</w:t>
            </w:r>
          </w:p>
        </w:tc>
      </w:tr>
      <w:tr w:rsidR="00912232" w:rsidTr="004F6786">
        <w:tc>
          <w:tcPr>
            <w:tcW w:w="4675" w:type="dxa"/>
          </w:tcPr>
          <w:p w:rsidR="00912232" w:rsidRPr="00C0338D" w:rsidRDefault="00912232" w:rsidP="004F6786">
            <w:r w:rsidRPr="00C0338D">
              <w:t xml:space="preserve">Wide range of potential target genes could be targeted </w:t>
            </w:r>
          </w:p>
        </w:tc>
        <w:tc>
          <w:tcPr>
            <w:tcW w:w="4675" w:type="dxa"/>
          </w:tcPr>
          <w:p w:rsidR="00912232" w:rsidRPr="00C0338D" w:rsidRDefault="00912232" w:rsidP="004F6786">
            <w:r w:rsidRPr="00C0338D">
              <w:t xml:space="preserve">Requires an annotated genome of target for gene selection </w:t>
            </w:r>
          </w:p>
        </w:tc>
      </w:tr>
      <w:tr w:rsidR="00912232" w:rsidTr="004F6786">
        <w:tc>
          <w:tcPr>
            <w:tcW w:w="4675" w:type="dxa"/>
          </w:tcPr>
          <w:p w:rsidR="00912232" w:rsidRPr="00C0338D" w:rsidRDefault="00912232" w:rsidP="004F6786">
            <w:r w:rsidRPr="00C0338D">
              <w:t xml:space="preserve">Non-chemical (biological) and hence negligible impact on the environment </w:t>
            </w:r>
          </w:p>
        </w:tc>
        <w:tc>
          <w:tcPr>
            <w:tcW w:w="4675" w:type="dxa"/>
          </w:tcPr>
          <w:p w:rsidR="00912232" w:rsidRPr="00C0338D" w:rsidRDefault="00912232" w:rsidP="004F6786">
            <w:r w:rsidRPr="00C0338D">
              <w:t xml:space="preserve">Poorly stable in the environment so requires an effective encapsulation and delivery mechanism </w:t>
            </w:r>
          </w:p>
        </w:tc>
      </w:tr>
      <w:tr w:rsidR="00912232" w:rsidTr="004F6786">
        <w:tc>
          <w:tcPr>
            <w:tcW w:w="4675" w:type="dxa"/>
          </w:tcPr>
          <w:p w:rsidR="00912232" w:rsidRPr="00C0338D" w:rsidRDefault="00912232" w:rsidP="004F6786">
            <w:r w:rsidRPr="00C0338D">
              <w:t>Likely social and has market acceptability</w:t>
            </w:r>
          </w:p>
        </w:tc>
        <w:tc>
          <w:tcPr>
            <w:tcW w:w="4675" w:type="dxa"/>
          </w:tcPr>
          <w:p w:rsidR="00912232" w:rsidRPr="00C0338D" w:rsidRDefault="00912232" w:rsidP="004F6786">
            <w:r w:rsidRPr="00C0338D">
              <w:t>Likely to be expensive until biotech develops low-cost production systems</w:t>
            </w:r>
          </w:p>
        </w:tc>
      </w:tr>
      <w:tr w:rsidR="00912232" w:rsidTr="004F6786">
        <w:tc>
          <w:tcPr>
            <w:tcW w:w="4675" w:type="dxa"/>
          </w:tcPr>
          <w:p w:rsidR="00912232" w:rsidRPr="00C0338D" w:rsidRDefault="00912232" w:rsidP="004F6786">
            <w:r w:rsidRPr="00C0338D">
              <w:t xml:space="preserve">Target resistance development can be quickly countered through realigning RNA interference sequence to the resistance gene </w:t>
            </w:r>
          </w:p>
        </w:tc>
        <w:tc>
          <w:tcPr>
            <w:tcW w:w="4675" w:type="dxa"/>
          </w:tcPr>
          <w:p w:rsidR="00912232" w:rsidRPr="00C0338D" w:rsidRDefault="00912232" w:rsidP="004F6786">
            <w:r w:rsidRPr="00C0338D">
              <w:t xml:space="preserve">Sequence homology in other species, </w:t>
            </w:r>
          </w:p>
        </w:tc>
      </w:tr>
      <w:tr w:rsidR="00912232" w:rsidTr="004F6786">
        <w:tc>
          <w:tcPr>
            <w:tcW w:w="4675" w:type="dxa"/>
          </w:tcPr>
          <w:p w:rsidR="00912232" w:rsidRPr="00C0338D" w:rsidRDefault="00912232" w:rsidP="004F6786">
            <w:r w:rsidRPr="00C0338D">
              <w:t>Can improve, facilitate or supplement existing strategies when used in the context of an integrated pest management strategy</w:t>
            </w:r>
          </w:p>
        </w:tc>
        <w:tc>
          <w:tcPr>
            <w:tcW w:w="4675" w:type="dxa"/>
          </w:tcPr>
          <w:p w:rsidR="00912232" w:rsidRPr="00C0338D" w:rsidRDefault="00912232" w:rsidP="004F6786">
            <w:r w:rsidRPr="00C0338D">
              <w:t>Lack of uptake by some species</w:t>
            </w:r>
            <w:bookmarkStart w:id="5" w:name="_GoBack"/>
            <w:bookmarkEnd w:id="5"/>
          </w:p>
        </w:tc>
      </w:tr>
    </w:tbl>
    <w:p w:rsidR="00C8681F" w:rsidRPr="00912232" w:rsidRDefault="00E733A8" w:rsidP="00912232"/>
    <w:sectPr w:rsidR="00C8681F" w:rsidRPr="009122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272"/>
    <w:rsid w:val="005606C8"/>
    <w:rsid w:val="007B6053"/>
    <w:rsid w:val="00912232"/>
    <w:rsid w:val="00957947"/>
    <w:rsid w:val="00C46272"/>
    <w:rsid w:val="00E733A8"/>
    <w:rsid w:val="00F171D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7212F0C"/>
  <w15:chartTrackingRefBased/>
  <w15:docId w15:val="{8CFB58DF-A559-41CF-89B1-CBD781C29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4"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46272"/>
    <w:pPr>
      <w:spacing w:after="0"/>
    </w:pPr>
    <w:rPr>
      <w:rFonts w:ascii="Times New Roman" w:hAnsi="Times New Roman" w:cs="Times New Roman"/>
      <w:sz w:val="24"/>
      <w:lang w:val="en-US"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BodyText"/>
    <w:next w:val="BodyText"/>
    <w:uiPriority w:val="4"/>
    <w:qFormat/>
    <w:rsid w:val="00C46272"/>
    <w:pPr>
      <w:keepNext/>
      <w:spacing w:before="240" w:line="240" w:lineRule="auto"/>
    </w:pPr>
    <w:rPr>
      <w:rFonts w:eastAsia="Times New Roman"/>
      <w:b/>
      <w:bCs/>
      <w:szCs w:val="24"/>
      <w:lang w:val="en-AU" w:eastAsia="ja-JP"/>
    </w:rPr>
  </w:style>
  <w:style w:type="table" w:styleId="GridTable1Light">
    <w:name w:val="Grid Table 1 Light"/>
    <w:basedOn w:val="TableNormal"/>
    <w:uiPriority w:val="46"/>
    <w:rsid w:val="00C46272"/>
    <w:pPr>
      <w:spacing w:after="0" w:line="240" w:lineRule="auto"/>
    </w:pPr>
    <w:rPr>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odyText">
    <w:name w:val="Body Text"/>
    <w:basedOn w:val="Normal"/>
    <w:link w:val="BodyTextChar"/>
    <w:uiPriority w:val="99"/>
    <w:semiHidden/>
    <w:unhideWhenUsed/>
    <w:rsid w:val="00C46272"/>
    <w:pPr>
      <w:spacing w:after="120"/>
    </w:pPr>
  </w:style>
  <w:style w:type="character" w:customStyle="1" w:styleId="BodyTextChar">
    <w:name w:val="Body Text Char"/>
    <w:basedOn w:val="DefaultParagraphFont"/>
    <w:link w:val="BodyText"/>
    <w:uiPriority w:val="99"/>
    <w:semiHidden/>
    <w:rsid w:val="00C46272"/>
    <w:rPr>
      <w:rFonts w:ascii="Times New Roman" w:hAnsi="Times New Roman" w:cs="Times New Roman"/>
      <w:sz w:val="24"/>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581</Words>
  <Characters>3317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nantavisai</dc:creator>
  <cp:keywords/>
  <dc:description/>
  <cp:lastModifiedBy>Tsu Ias</cp:lastModifiedBy>
  <cp:revision>4</cp:revision>
  <dcterms:created xsi:type="dcterms:W3CDTF">2023-06-15T02:34:00Z</dcterms:created>
  <dcterms:modified xsi:type="dcterms:W3CDTF">2024-01-25T07:32:00Z</dcterms:modified>
</cp:coreProperties>
</file>